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78A2B">
      <w:pPr>
        <w:jc w:val="center"/>
        <w:rPr>
          <w:rFonts w:hint="eastAsia" w:ascii="新宋体" w:hAnsi="新宋体" w:eastAsia="新宋体" w:cs="新宋体"/>
          <w:b/>
          <w:bCs/>
          <w:spacing w:val="30"/>
          <w:sz w:val="52"/>
          <w:szCs w:val="52"/>
          <w:highlight w:val="none"/>
        </w:rPr>
      </w:pPr>
    </w:p>
    <w:p w14:paraId="78D17694">
      <w:pPr>
        <w:jc w:val="center"/>
        <w:rPr>
          <w:rFonts w:hint="eastAsia" w:ascii="新宋体" w:hAnsi="新宋体" w:eastAsia="新宋体"/>
          <w:b/>
          <w:bCs/>
          <w:spacing w:val="140"/>
          <w:sz w:val="60"/>
          <w:szCs w:val="22"/>
          <w:highlight w:val="none"/>
        </w:rPr>
      </w:pPr>
      <w:r>
        <w:rPr>
          <w:rFonts w:hint="eastAsia" w:ascii="新宋体" w:hAnsi="新宋体" w:eastAsia="新宋体" w:cs="新宋体"/>
          <w:b/>
          <w:bCs/>
          <w:spacing w:val="30"/>
          <w:sz w:val="52"/>
          <w:szCs w:val="52"/>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val="en-US" w:eastAsia="zh-CN"/>
        </w:rPr>
      </w:pPr>
      <w:r>
        <w:rPr>
          <w:rFonts w:hint="eastAsia" w:ascii="宋体" w:hAnsi="宋体" w:eastAsia="宋体" w:cs="宋体"/>
          <w:b/>
          <w:bCs/>
          <w:spacing w:val="40"/>
          <w:sz w:val="32"/>
          <w:szCs w:val="32"/>
          <w:highlight w:val="none"/>
        </w:rPr>
        <w:t>项目名称：</w:t>
      </w:r>
      <w:r>
        <w:rPr>
          <w:rFonts w:hint="eastAsia" w:ascii="宋体" w:hAnsi="宋体" w:cs="宋体"/>
          <w:b/>
          <w:bCs/>
          <w:spacing w:val="40"/>
          <w:sz w:val="32"/>
          <w:szCs w:val="32"/>
          <w:highlight w:val="none"/>
          <w:lang w:eastAsia="zh-CN"/>
        </w:rPr>
        <w:t>打印纸采购</w:t>
      </w:r>
      <w:r>
        <w:rPr>
          <w:rFonts w:hint="eastAsia" w:ascii="宋体" w:hAnsi="宋体" w:eastAsia="宋体" w:cs="宋体"/>
          <w:b/>
          <w:bCs/>
          <w:spacing w:val="40"/>
          <w:sz w:val="32"/>
          <w:szCs w:val="32"/>
          <w:highlight w:val="none"/>
          <w:lang w:val="en-US" w:eastAsia="zh-CN"/>
        </w:rPr>
        <w:t>项目</w:t>
      </w:r>
      <w:r>
        <w:rPr>
          <w:rFonts w:hint="eastAsia" w:ascii="宋体" w:hAnsi="宋体" w:cs="宋体"/>
          <w:b/>
          <w:bCs/>
          <w:spacing w:val="40"/>
          <w:sz w:val="32"/>
          <w:szCs w:val="32"/>
          <w:highlight w:val="none"/>
          <w:lang w:val="en-US" w:eastAsia="zh-CN"/>
        </w:rPr>
        <w:t>(重）</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653ADF1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五年六</w:t>
      </w:r>
      <w:r>
        <w:rPr>
          <w:rFonts w:hint="eastAsia" w:ascii="新宋体" w:hAnsi="新宋体" w:eastAsia="新宋体"/>
          <w:b/>
          <w:bCs/>
          <w:spacing w:val="40"/>
          <w:sz w:val="32"/>
          <w:szCs w:val="28"/>
          <w:highlight w:val="none"/>
        </w:rPr>
        <w:t>月</w:t>
      </w:r>
    </w:p>
    <w:p w14:paraId="40D33707">
      <w:pPr>
        <w:pStyle w:val="2"/>
        <w:rPr>
          <w:rFonts w:hint="eastAsia"/>
        </w:rPr>
      </w:pP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打印纸采购项目（重）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打印纸采购项目（重）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98000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20</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26</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bookmarkStart w:id="6" w:name="_GoBack"/>
      <w:bookmarkEnd w:id="6"/>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w:t>
      </w:r>
      <w:r>
        <w:rPr>
          <w:rFonts w:hint="eastAsia" w:cs="宋体"/>
          <w:color w:val="000000"/>
          <w:sz w:val="24"/>
          <w:szCs w:val="24"/>
          <w:highlight w:val="none"/>
          <w:lang w:val="en-US" w:eastAsia="zh-CN"/>
        </w:rPr>
        <w:t>89870</w:t>
      </w:r>
      <w:r>
        <w:rPr>
          <w:rFonts w:hint="eastAsia" w:ascii="宋体" w:hAnsi="宋体" w:eastAsia="宋体" w:cs="宋体"/>
          <w:color w:val="000000"/>
          <w:sz w:val="24"/>
          <w:szCs w:val="24"/>
          <w:highlight w:val="none"/>
        </w:rPr>
        <w:t>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20</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301C471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5FB7C4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7BAE0D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D4F53C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461E0C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3F37DE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A71196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8B802A1">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27194E8">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BED76FC">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4BABDEFD">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752AA0B">
      <w:pPr>
        <w:numPr>
          <w:ilvl w:val="0"/>
          <w:numId w:val="0"/>
        </w:numPr>
        <w:spacing w:line="360" w:lineRule="auto"/>
        <w:rPr>
          <w:rFonts w:hint="eastAsia" w:ascii="宋体" w:hAnsi="宋体"/>
          <w:sz w:val="28"/>
          <w:szCs w:val="28"/>
          <w:highlight w:val="none"/>
          <w:lang w:val="en-US" w:eastAsia="zh-CN"/>
        </w:rPr>
      </w:pPr>
      <w:r>
        <w:rPr>
          <w:rFonts w:hint="eastAsia" w:ascii="宋体" w:hAnsi="宋体"/>
          <w:sz w:val="28"/>
          <w:szCs w:val="28"/>
          <w:highlight w:val="none"/>
        </w:rPr>
        <w:t>（二）项目名称：</w:t>
      </w:r>
      <w:r>
        <w:rPr>
          <w:rFonts w:hint="eastAsia" w:ascii="宋体" w:hAnsi="宋体"/>
          <w:sz w:val="28"/>
          <w:szCs w:val="28"/>
          <w:highlight w:val="none"/>
          <w:lang w:val="en-US" w:eastAsia="zh-CN"/>
        </w:rPr>
        <w:t>打印纸采购项目（重）</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98000</w:t>
      </w:r>
      <w:r>
        <w:rPr>
          <w:rFonts w:hint="eastAsia" w:ascii="宋体" w:hAnsi="宋体"/>
          <w:sz w:val="28"/>
          <w:szCs w:val="28"/>
          <w:highlight w:val="none"/>
        </w:rPr>
        <w:t>元</w:t>
      </w:r>
    </w:p>
    <w:p w14:paraId="57D4C610">
      <w:pPr>
        <w:numPr>
          <w:ilvl w:val="0"/>
          <w:numId w:val="0"/>
        </w:numPr>
        <w:spacing w:line="360" w:lineRule="auto"/>
        <w:rPr>
          <w:rFonts w:hint="eastAsia" w:ascii="宋体" w:hAnsi="宋体"/>
          <w:color w:val="auto"/>
          <w:sz w:val="28"/>
          <w:szCs w:val="28"/>
          <w:highlight w:val="none"/>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color w:val="auto"/>
          <w:sz w:val="28"/>
          <w:szCs w:val="28"/>
          <w:highlight w:val="none"/>
        </w:rPr>
        <w:t>本次竞价是</w:t>
      </w:r>
      <w:r>
        <w:rPr>
          <w:rFonts w:hint="eastAsia" w:ascii="宋体" w:hAnsi="宋体"/>
          <w:color w:val="auto"/>
          <w:sz w:val="28"/>
          <w:szCs w:val="28"/>
          <w:highlight w:val="none"/>
          <w:lang w:eastAsia="zh-CN"/>
        </w:rPr>
        <w:t>打印纸</w:t>
      </w:r>
      <w:r>
        <w:rPr>
          <w:rFonts w:hint="eastAsia" w:ascii="宋体" w:hAnsi="宋体"/>
          <w:color w:val="auto"/>
          <w:sz w:val="28"/>
          <w:szCs w:val="28"/>
          <w:highlight w:val="none"/>
        </w:rPr>
        <w:t>采购，竞价人的竞价产品必须是合格的产品须符合相应的国家标准和行业标准的要求。</w:t>
      </w:r>
    </w:p>
    <w:p w14:paraId="33741B72">
      <w:pPr>
        <w:numPr>
          <w:ilvl w:val="0"/>
          <w:numId w:val="2"/>
        </w:numPr>
        <w:spacing w:line="360" w:lineRule="auto"/>
        <w:rPr>
          <w:rFonts w:hint="eastAsia" w:ascii="Times New Roman" w:hAnsi="Times New Roman" w:eastAsia="宋体" w:cs="Times New Roman"/>
          <w:b/>
          <w:bCs/>
          <w:color w:val="auto"/>
          <w:kern w:val="2"/>
          <w:sz w:val="28"/>
          <w:szCs w:val="28"/>
          <w:highlight w:val="none"/>
          <w:lang w:val="en-US" w:eastAsia="zh-CN" w:bidi="ar-SA"/>
        </w:rPr>
      </w:pPr>
      <w:r>
        <w:rPr>
          <w:rFonts w:hint="eastAsia"/>
          <w:b/>
          <w:bCs/>
          <w:color w:val="auto"/>
          <w:sz w:val="28"/>
          <w:szCs w:val="28"/>
          <w:highlight w:val="none"/>
          <w:lang w:eastAsia="zh-CN"/>
        </w:rPr>
        <w:t>采购需求及数量</w:t>
      </w:r>
    </w:p>
    <w:p w14:paraId="5C472146">
      <w:pPr>
        <w:pStyle w:val="2"/>
        <w:rPr>
          <w:rFonts w:hint="eastAsia"/>
          <w:lang w:val="en-US" w:eastAsia="zh-CN"/>
        </w:rPr>
      </w:pPr>
    </w:p>
    <w:tbl>
      <w:tblPr>
        <w:tblStyle w:val="18"/>
        <w:tblW w:w="91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1"/>
        <w:gridCol w:w="2297"/>
        <w:gridCol w:w="2376"/>
        <w:gridCol w:w="831"/>
        <w:gridCol w:w="831"/>
        <w:gridCol w:w="831"/>
        <w:gridCol w:w="1708"/>
      </w:tblGrid>
      <w:tr w14:paraId="35A6A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A1B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8BC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EE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A3C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预算单价</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C4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028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w:t>
            </w:r>
            <w:r>
              <w:rPr>
                <w:rFonts w:hint="eastAsia" w:ascii="宋体" w:hAnsi="宋体" w:cs="宋体"/>
                <w:i w:val="0"/>
                <w:iCs w:val="0"/>
                <w:color w:val="000000"/>
                <w:kern w:val="0"/>
                <w:sz w:val="24"/>
                <w:szCs w:val="24"/>
                <w:u w:val="none"/>
                <w:lang w:val="en-US" w:eastAsia="zh-CN" w:bidi="ar"/>
              </w:rPr>
              <w:t>估</w:t>
            </w:r>
            <w:r>
              <w:rPr>
                <w:rFonts w:hint="eastAsia" w:ascii="宋体" w:hAnsi="宋体" w:eastAsia="宋体" w:cs="宋体"/>
                <w:i w:val="0"/>
                <w:iCs w:val="0"/>
                <w:color w:val="000000"/>
                <w:kern w:val="0"/>
                <w:sz w:val="24"/>
                <w:szCs w:val="24"/>
                <w:u w:val="none"/>
                <w:lang w:val="en-US" w:eastAsia="zh-CN" w:bidi="ar"/>
              </w:rPr>
              <w:t>数量</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103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4B1B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4D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16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纯白复印纸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6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A4，70g/㎡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F1E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4A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44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D8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500张/包</w:t>
            </w:r>
          </w:p>
        </w:tc>
      </w:tr>
      <w:tr w14:paraId="1C9C9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1A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A0B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纯白复印纸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D43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A5，70g/㎡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2D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6DC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D3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AB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500张/包</w:t>
            </w:r>
          </w:p>
        </w:tc>
      </w:tr>
      <w:tr w14:paraId="093AF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F85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AA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（三联三等分）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5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241-3(1/3)，50g/㎡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5FF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CF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B8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D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1000页/盒</w:t>
            </w:r>
          </w:p>
        </w:tc>
      </w:tr>
      <w:tr w14:paraId="6121F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jc w:val="center"/>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73ABD0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297" w:type="dxa"/>
            <w:tcBorders>
              <w:top w:val="single" w:color="000000" w:sz="4" w:space="0"/>
              <w:left w:val="single" w:color="000000" w:sz="4" w:space="0"/>
              <w:bottom w:val="nil"/>
              <w:right w:val="single" w:color="000000" w:sz="4" w:space="0"/>
            </w:tcBorders>
            <w:shd w:val="clear" w:color="auto" w:fill="auto"/>
            <w:vAlign w:val="center"/>
          </w:tcPr>
          <w:p w14:paraId="09851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（一联一等分）</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78D11E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241-1，50g/㎡</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8891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3D70F1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48185A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E80A9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1000页/盒</w:t>
            </w:r>
          </w:p>
        </w:tc>
      </w:tr>
      <w:tr w14:paraId="4507D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4376">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不仅限以上复印纸种类，如需采购价格另行协商</w:t>
            </w:r>
            <w:r>
              <w:rPr>
                <w:rFonts w:hint="eastAsia" w:ascii="宋体" w:hAnsi="宋体" w:cs="宋体"/>
                <w:i w:val="0"/>
                <w:iCs w:val="0"/>
                <w:color w:val="000000"/>
                <w:kern w:val="0"/>
                <w:sz w:val="18"/>
                <w:szCs w:val="18"/>
                <w:u w:val="none"/>
                <w:lang w:val="en-US" w:eastAsia="zh-CN" w:bidi="ar"/>
              </w:rPr>
              <w:t>。</w:t>
            </w:r>
          </w:p>
          <w:p w14:paraId="28A77E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每种打印纸需要提供样品。</w:t>
            </w:r>
          </w:p>
        </w:tc>
      </w:tr>
    </w:tbl>
    <w:p w14:paraId="557A9F4B">
      <w:pPr>
        <w:pStyle w:val="2"/>
        <w:rPr>
          <w:rFonts w:hint="eastAsia"/>
          <w:lang w:val="en-US" w:eastAsia="zh-CN"/>
        </w:rPr>
      </w:pPr>
    </w:p>
    <w:p w14:paraId="00C1ADF9">
      <w:pPr>
        <w:pStyle w:val="2"/>
        <w:rPr>
          <w:rFonts w:hint="eastAsia"/>
          <w:lang w:val="en-US" w:eastAsia="zh-CN"/>
        </w:rPr>
      </w:pPr>
    </w:p>
    <w:p w14:paraId="1E707F9E">
      <w:pPr>
        <w:rPr>
          <w:rFonts w:hint="eastAsia"/>
          <w:lang w:val="en-US" w:eastAsia="zh-CN"/>
        </w:rPr>
      </w:pPr>
    </w:p>
    <w:p w14:paraId="0D331142">
      <w:pPr>
        <w:pStyle w:val="2"/>
        <w:rPr>
          <w:rFonts w:hint="eastAsia"/>
          <w:lang w:val="en-US" w:eastAsia="zh-CN"/>
        </w:rPr>
      </w:pPr>
    </w:p>
    <w:p w14:paraId="165D110A">
      <w:pPr>
        <w:numPr>
          <w:ilvl w:val="0"/>
          <w:numId w:val="0"/>
        </w:numPr>
        <w:ind w:leftChars="0"/>
        <w:jc w:val="center"/>
        <w:outlineLvl w:val="1"/>
        <w:rPr>
          <w:rFonts w:hint="eastAsia"/>
          <w:color w:val="auto"/>
          <w:lang w:val="en-US" w:eastAsia="zh-CN"/>
        </w:rPr>
      </w:pPr>
      <w:r>
        <w:rPr>
          <w:rFonts w:hint="eastAsia" w:ascii="Times New Roman" w:hAnsi="Times New Roman" w:eastAsia="宋体" w:cs="Times New Roman"/>
          <w:b/>
          <w:bCs/>
          <w:color w:val="auto"/>
          <w:kern w:val="2"/>
          <w:sz w:val="28"/>
          <w:szCs w:val="28"/>
          <w:highlight w:val="none"/>
          <w:lang w:val="en-US" w:eastAsia="zh-CN" w:bidi="ar-SA"/>
        </w:rPr>
        <w:t>服务要求</w:t>
      </w:r>
    </w:p>
    <w:p w14:paraId="254F1E4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1、供应商需按甲方要求运送至交货地点（潘桥院区、西山院区、龙湾院区）。</w:t>
      </w:r>
    </w:p>
    <w:p w14:paraId="2774F9D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2、本次采购需要在浙江政府采购云平台上进行（需为框架协议入围供应商、提供如商家主页截图、资质证明等）。</w:t>
      </w:r>
    </w:p>
    <w:p w14:paraId="4DA4EC5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auto"/>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3、医院不保证单次采购的数量及金额，不论需求量多少，供应商均需配送。</w:t>
      </w:r>
    </w:p>
    <w:p w14:paraId="03BBFEE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4、</w:t>
      </w:r>
      <w:r>
        <w:rPr>
          <w:rFonts w:hint="default" w:asciiTheme="majorEastAsia" w:hAnsiTheme="majorEastAsia" w:eastAsiaTheme="majorEastAsia" w:cstheme="majorEastAsia"/>
          <w:b w:val="0"/>
          <w:bCs/>
          <w:color w:val="auto"/>
          <w:sz w:val="24"/>
          <w:szCs w:val="24"/>
          <w:highlight w:val="none"/>
          <w:lang w:val="en-US" w:eastAsia="zh-CN"/>
        </w:rPr>
        <w:t>相关款项每季度结算一次。</w:t>
      </w:r>
    </w:p>
    <w:p w14:paraId="29D6F388">
      <w:pPr>
        <w:numPr>
          <w:ilvl w:val="0"/>
          <w:numId w:val="0"/>
        </w:numPr>
        <w:ind w:leftChars="0"/>
        <w:outlineLvl w:val="1"/>
        <w:rPr>
          <w:rFonts w:hint="default"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color w:val="auto"/>
                <w:sz w:val="24"/>
                <w:szCs w:val="24"/>
                <w:highlight w:val="none"/>
                <w:lang w:val="en-US" w:eastAsia="zh-CN"/>
              </w:rPr>
              <w:t>如</w:t>
            </w:r>
            <w:r>
              <w:rPr>
                <w:rFonts w:ascii="Segoe UI" w:hAnsi="Segoe UI" w:eastAsia="Segoe UI" w:cs="Segoe UI"/>
                <w:i w:val="0"/>
                <w:iCs w:val="0"/>
                <w:caps w:val="0"/>
                <w:color w:val="auto"/>
                <w:spacing w:val="0"/>
                <w:sz w:val="24"/>
                <w:szCs w:val="24"/>
              </w:rPr>
              <w:t>印刷经营许可证</w:t>
            </w:r>
            <w:r>
              <w:rPr>
                <w:rFonts w:hint="eastAsia" w:ascii="Segoe UI" w:hAnsi="Segoe UI" w:eastAsia="宋体" w:cs="Segoe UI"/>
                <w:i w:val="0"/>
                <w:iCs w:val="0"/>
                <w:caps w:val="0"/>
                <w:color w:val="auto"/>
                <w:spacing w:val="0"/>
                <w:sz w:val="24"/>
                <w:szCs w:val="24"/>
                <w:lang w:eastAsia="zh-CN"/>
              </w:rPr>
              <w:t>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6E3E5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EA3F8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2.5</w:t>
            </w:r>
          </w:p>
        </w:tc>
        <w:tc>
          <w:tcPr>
            <w:tcW w:w="7193" w:type="dxa"/>
            <w:noWrap w:val="0"/>
            <w:vAlign w:val="center"/>
          </w:tcPr>
          <w:p w14:paraId="23CB53A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需具备浙江政府采购云平台卖家账户证明资料（如商家主页截图、资质证明等）</w:t>
            </w:r>
          </w:p>
        </w:tc>
        <w:tc>
          <w:tcPr>
            <w:tcW w:w="1717" w:type="dxa"/>
            <w:noWrap w:val="0"/>
            <w:vAlign w:val="center"/>
          </w:tcPr>
          <w:p w14:paraId="62A70E2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34BCEBA3">
      <w:pPr>
        <w:spacing w:line="360" w:lineRule="auto"/>
        <w:rPr>
          <w:b/>
          <w:bCs w:val="0"/>
          <w:color w:val="auto"/>
          <w:kern w:val="0"/>
          <w:sz w:val="24"/>
        </w:rPr>
      </w:pPr>
      <w:r>
        <w:rPr>
          <w:rFonts w:hint="eastAsia" w:asciiTheme="majorEastAsia" w:hAnsiTheme="majorEastAsia" w:eastAsiaTheme="majorEastAsia" w:cstheme="majorEastAsia"/>
          <w:b/>
          <w:bCs w:val="0"/>
          <w:color w:val="auto"/>
          <w:sz w:val="24"/>
          <w:szCs w:val="24"/>
          <w:highlight w:val="none"/>
          <w:lang w:eastAsia="zh-CN"/>
        </w:rPr>
        <w:t>说明：</w:t>
      </w:r>
      <w:r>
        <w:rPr>
          <w:rFonts w:hAnsi="宋体"/>
          <w:b/>
          <w:bCs w:val="0"/>
          <w:color w:val="auto"/>
          <w:kern w:val="0"/>
          <w:sz w:val="24"/>
        </w:rPr>
        <w:t>发生下列情况之一的遴选响应文件被视为无效：</w:t>
      </w:r>
    </w:p>
    <w:p w14:paraId="376855B2">
      <w:pPr>
        <w:numPr>
          <w:ilvl w:val="0"/>
          <w:numId w:val="3"/>
        </w:numPr>
        <w:spacing w:line="360" w:lineRule="auto"/>
        <w:rPr>
          <w:rFonts w:hAnsi="宋体"/>
          <w:b/>
          <w:bCs w:val="0"/>
          <w:color w:val="auto"/>
          <w:kern w:val="0"/>
          <w:sz w:val="24"/>
        </w:rPr>
      </w:pPr>
      <w:r>
        <w:rPr>
          <w:rFonts w:hint="eastAsia" w:hAnsi="宋体"/>
          <w:b/>
          <w:bCs w:val="0"/>
          <w:color w:val="auto"/>
          <w:kern w:val="0"/>
          <w:sz w:val="24"/>
        </w:rPr>
        <w:t>文件递交</w:t>
      </w:r>
      <w:r>
        <w:rPr>
          <w:rFonts w:hAnsi="宋体"/>
          <w:b/>
          <w:bCs w:val="0"/>
          <w:color w:val="auto"/>
          <w:kern w:val="0"/>
          <w:sz w:val="24"/>
        </w:rPr>
        <w:t>截止时间以后送达的</w:t>
      </w:r>
      <w:r>
        <w:rPr>
          <w:rFonts w:hint="eastAsia" w:hAnsi="宋体"/>
          <w:b/>
          <w:bCs w:val="0"/>
          <w:color w:val="auto"/>
          <w:kern w:val="0"/>
          <w:sz w:val="24"/>
          <w:lang w:eastAsia="zh-CN"/>
        </w:rPr>
        <w:t>比</w:t>
      </w:r>
      <w:r>
        <w:rPr>
          <w:rFonts w:hAnsi="宋体"/>
          <w:b/>
          <w:bCs w:val="0"/>
          <w:color w:val="auto"/>
          <w:kern w:val="0"/>
          <w:sz w:val="24"/>
        </w:rPr>
        <w:t>选响应文件；</w:t>
      </w:r>
    </w:p>
    <w:p w14:paraId="6018EB58">
      <w:pPr>
        <w:numPr>
          <w:ilvl w:val="0"/>
          <w:numId w:val="3"/>
        </w:numPr>
        <w:spacing w:line="360" w:lineRule="auto"/>
        <w:rPr>
          <w:rFonts w:hAnsi="宋体"/>
          <w:b/>
          <w:bCs w:val="0"/>
          <w:color w:val="auto"/>
          <w:kern w:val="0"/>
          <w:sz w:val="24"/>
        </w:rPr>
      </w:pPr>
      <w:r>
        <w:rPr>
          <w:rFonts w:hint="eastAsia" w:hAnsi="宋体"/>
          <w:b/>
          <w:bCs w:val="0"/>
          <w:color w:val="auto"/>
          <w:kern w:val="0"/>
          <w:sz w:val="24"/>
        </w:rPr>
        <w:t>以电讯形式投标的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47ED3050">
      <w:pPr>
        <w:numPr>
          <w:ilvl w:val="0"/>
          <w:numId w:val="3"/>
        </w:numPr>
        <w:spacing w:line="360" w:lineRule="auto"/>
        <w:rPr>
          <w:rFonts w:hAnsi="宋体"/>
          <w:b/>
          <w:bCs w:val="0"/>
          <w:color w:val="auto"/>
          <w:kern w:val="0"/>
          <w:sz w:val="24"/>
        </w:rPr>
      </w:pPr>
      <w:r>
        <w:rPr>
          <w:rFonts w:hint="eastAsia" w:hAnsi="宋体"/>
          <w:b/>
          <w:bCs w:val="0"/>
          <w:color w:val="auto"/>
          <w:kern w:val="0"/>
          <w:sz w:val="24"/>
        </w:rPr>
        <w:t>与</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文件有重大偏离的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3D386E27">
      <w:pPr>
        <w:numPr>
          <w:ilvl w:val="0"/>
          <w:numId w:val="3"/>
        </w:numPr>
        <w:spacing w:line="360" w:lineRule="auto"/>
        <w:rPr>
          <w:rFonts w:hAnsi="宋体"/>
          <w:b/>
          <w:bCs w:val="0"/>
          <w:color w:val="auto"/>
          <w:kern w:val="0"/>
          <w:sz w:val="24"/>
        </w:rPr>
      </w:pPr>
      <w:r>
        <w:rPr>
          <w:rFonts w:hint="eastAsia" w:hAnsi="宋体"/>
          <w:b/>
          <w:bCs w:val="0"/>
          <w:color w:val="auto"/>
          <w:kern w:val="0"/>
          <w:sz w:val="24"/>
        </w:rPr>
        <w:t>存在“▲”条款的负偏离或不满足要求；</w:t>
      </w:r>
    </w:p>
    <w:p w14:paraId="11E89B86">
      <w:pPr>
        <w:numPr>
          <w:ilvl w:val="0"/>
          <w:numId w:val="3"/>
        </w:numPr>
        <w:spacing w:line="360" w:lineRule="auto"/>
        <w:rPr>
          <w:rFonts w:hAnsi="宋体"/>
          <w:b/>
          <w:bCs w:val="0"/>
          <w:color w:val="auto"/>
          <w:kern w:val="0"/>
          <w:sz w:val="24"/>
        </w:rPr>
      </w:pPr>
      <w:r>
        <w:rPr>
          <w:rFonts w:hint="eastAsia" w:hAnsi="宋体"/>
          <w:b/>
          <w:bCs w:val="0"/>
          <w:color w:val="auto"/>
          <w:kern w:val="0"/>
          <w:sz w:val="24"/>
        </w:rPr>
        <w:t>资格证明文件不全，致使无法确认</w:t>
      </w:r>
      <w:r>
        <w:rPr>
          <w:rFonts w:hint="eastAsia" w:hAnsi="宋体"/>
          <w:b/>
          <w:bCs w:val="0"/>
          <w:color w:val="auto"/>
          <w:kern w:val="0"/>
          <w:sz w:val="24"/>
          <w:lang w:eastAsia="zh-CN"/>
        </w:rPr>
        <w:t>供应商</w:t>
      </w:r>
      <w:r>
        <w:rPr>
          <w:rFonts w:hint="eastAsia" w:hAnsi="宋体"/>
          <w:b/>
          <w:bCs w:val="0"/>
          <w:color w:val="auto"/>
          <w:kern w:val="0"/>
          <w:sz w:val="24"/>
        </w:rPr>
        <w:t>的资格的；</w:t>
      </w:r>
    </w:p>
    <w:p w14:paraId="38DF0683">
      <w:pPr>
        <w:numPr>
          <w:ilvl w:val="0"/>
          <w:numId w:val="3"/>
        </w:numPr>
        <w:spacing w:line="360" w:lineRule="auto"/>
        <w:rPr>
          <w:rStyle w:val="21"/>
          <w:rFonts w:hint="eastAsia" w:asciiTheme="majorEastAsia" w:hAnsiTheme="majorEastAsia" w:eastAsiaTheme="majorEastAsia" w:cstheme="majorEastAsia"/>
          <w:b/>
          <w:bCs w:val="0"/>
          <w:color w:val="auto"/>
          <w:sz w:val="24"/>
          <w:szCs w:val="24"/>
          <w:highlight w:val="none"/>
          <w:shd w:val="clear" w:color="auto" w:fill="FFFFFF"/>
          <w:lang w:val="en-US" w:eastAsia="zh-CN"/>
        </w:rPr>
      </w:pPr>
      <w:r>
        <w:rPr>
          <w:rFonts w:hint="eastAsia" w:hAnsi="宋体"/>
          <w:b/>
          <w:bCs w:val="0"/>
          <w:color w:val="auto"/>
          <w:kern w:val="0"/>
          <w:sz w:val="24"/>
        </w:rPr>
        <w:t>超出经营范围响应的；</w:t>
      </w:r>
    </w:p>
    <w:p w14:paraId="563A6DE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left="0" w:leftChars="0" w:firstLine="0" w:firstLineChars="0"/>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726A1FC5">
      <w:pPr>
        <w:pStyle w:val="2"/>
        <w:rPr>
          <w:rFonts w:hint="eastAsia"/>
          <w:lang w:val="en-US" w:eastAsia="zh-CN"/>
        </w:rPr>
      </w:pPr>
    </w:p>
    <w:p w14:paraId="5F51C5A0">
      <w:pPr>
        <w:rPr>
          <w:rFonts w:hint="eastAsia"/>
          <w:lang w:val="en-US" w:eastAsia="zh-CN"/>
        </w:rPr>
      </w:pPr>
    </w:p>
    <w:p w14:paraId="5F6144B1">
      <w:pPr>
        <w:pStyle w:val="2"/>
        <w:rPr>
          <w:rFonts w:hint="eastAsia"/>
          <w:lang w:val="en-US" w:eastAsia="zh-CN"/>
        </w:rPr>
      </w:pPr>
    </w:p>
    <w:p w14:paraId="71D8E83F">
      <w:pPr>
        <w:rPr>
          <w:rFonts w:hint="eastAsia"/>
          <w:lang w:val="en-US" w:eastAsia="zh-CN"/>
        </w:rPr>
      </w:pPr>
    </w:p>
    <w:p w14:paraId="6F633015">
      <w:pPr>
        <w:pStyle w:val="2"/>
        <w:rPr>
          <w:rFonts w:hint="eastAsia"/>
          <w:lang w:val="en-US" w:eastAsia="zh-CN"/>
        </w:rPr>
      </w:pPr>
    </w:p>
    <w:p w14:paraId="0057D045">
      <w:pPr>
        <w:rPr>
          <w:rFonts w:hint="eastAsia"/>
          <w:lang w:val="en-US" w:eastAsia="zh-CN"/>
        </w:rPr>
      </w:pPr>
    </w:p>
    <w:p w14:paraId="743EC778">
      <w:pPr>
        <w:pStyle w:val="2"/>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11306"/>
      <w:bookmarkStart w:id="3" w:name="_Toc24825"/>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061"/>
        <w:gridCol w:w="1323"/>
        <w:gridCol w:w="5018"/>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序号</w:t>
            </w:r>
          </w:p>
        </w:tc>
        <w:tc>
          <w:tcPr>
            <w:tcW w:w="3061" w:type="dxa"/>
            <w:noWrap w:val="0"/>
            <w:vAlign w:val="center"/>
          </w:tcPr>
          <w:p w14:paraId="49DE39B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评定项目</w:t>
            </w:r>
          </w:p>
        </w:tc>
        <w:tc>
          <w:tcPr>
            <w:tcW w:w="1323" w:type="dxa"/>
            <w:noWrap w:val="0"/>
            <w:vAlign w:val="center"/>
          </w:tcPr>
          <w:p w14:paraId="29E6740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分值</w:t>
            </w:r>
          </w:p>
        </w:tc>
        <w:tc>
          <w:tcPr>
            <w:tcW w:w="5018" w:type="dxa"/>
            <w:noWrap w:val="0"/>
            <w:vAlign w:val="center"/>
          </w:tcPr>
          <w:p w14:paraId="1E12FDF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评分细则</w:t>
            </w:r>
          </w:p>
        </w:tc>
      </w:tr>
      <w:tr w14:paraId="23F9A6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0C7459E8">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1</w:t>
            </w:r>
          </w:p>
        </w:tc>
        <w:tc>
          <w:tcPr>
            <w:tcW w:w="3061" w:type="dxa"/>
            <w:noWrap w:val="0"/>
            <w:vAlign w:val="center"/>
          </w:tcPr>
          <w:p w14:paraId="0B3CC1E1">
            <w:pPr>
              <w:jc w:val="center"/>
              <w:rPr>
                <w:rFonts w:hint="eastAsia" w:eastAsia="宋体"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技术参数</w:t>
            </w:r>
          </w:p>
        </w:tc>
        <w:tc>
          <w:tcPr>
            <w:tcW w:w="1323" w:type="dxa"/>
            <w:noWrap w:val="0"/>
            <w:vAlign w:val="center"/>
          </w:tcPr>
          <w:p w14:paraId="2E27CEE1">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5</w:t>
            </w:r>
          </w:p>
        </w:tc>
        <w:tc>
          <w:tcPr>
            <w:tcW w:w="5018" w:type="dxa"/>
            <w:noWrap w:val="0"/>
            <w:vAlign w:val="center"/>
          </w:tcPr>
          <w:p w14:paraId="3701D3C5">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比选文件二技术要求</w:t>
            </w:r>
            <w:r>
              <w:rPr>
                <w:rFonts w:hint="eastAsia" w:cs="Times New Roman" w:asciiTheme="minorEastAsia" w:hAnsiTheme="minorEastAsia"/>
                <w:b w:val="0"/>
                <w:bCs/>
                <w:color w:val="auto"/>
                <w:sz w:val="24"/>
                <w:szCs w:val="24"/>
                <w:highlight w:val="none"/>
                <w:lang w:val="en-US" w:eastAsia="zh-CN"/>
              </w:rPr>
              <w:t>、服务要求</w:t>
            </w:r>
            <w:r>
              <w:rPr>
                <w:rFonts w:hint="eastAsia" w:eastAsia="宋体" w:cs="Times New Roman" w:asciiTheme="minorEastAsia" w:hAnsiTheme="minorEastAsia"/>
                <w:b w:val="0"/>
                <w:bCs/>
                <w:color w:val="auto"/>
                <w:sz w:val="24"/>
                <w:szCs w:val="24"/>
                <w:highlight w:val="none"/>
                <w:lang w:val="en-US" w:eastAsia="zh-CN"/>
              </w:rPr>
              <w:t>的偏离度，每一项偏离扣</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val="en-US" w:eastAsia="zh-CN"/>
              </w:rPr>
              <w:t xml:space="preserve"> 分，扣完为止。招标人有权对存在虚假、恶意响应情形的投标人进行处罚及取消其中选资格。</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4884A5F6">
            <w:pPr>
              <w:jc w:val="center"/>
              <w:rPr>
                <w:rFonts w:hint="eastAsia"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2</w:t>
            </w:r>
          </w:p>
        </w:tc>
        <w:tc>
          <w:tcPr>
            <w:tcW w:w="3061" w:type="dxa"/>
            <w:noWrap w:val="0"/>
            <w:vAlign w:val="center"/>
          </w:tcPr>
          <w:p w14:paraId="017FD806">
            <w:pPr>
              <w:jc w:val="center"/>
              <w:rPr>
                <w:rFonts w:hint="eastAsia" w:eastAsia="宋体"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服务</w:t>
            </w:r>
            <w:r>
              <w:rPr>
                <w:rFonts w:hint="eastAsia" w:eastAsia="宋体" w:cs="Times New Roman" w:asciiTheme="minorEastAsia" w:hAnsiTheme="minorEastAsia"/>
                <w:b w:val="0"/>
                <w:bCs/>
                <w:color w:val="auto"/>
                <w:sz w:val="24"/>
                <w:szCs w:val="24"/>
                <w:highlight w:val="none"/>
                <w:lang w:eastAsia="zh-CN"/>
              </w:rPr>
              <w:t>方案</w:t>
            </w:r>
          </w:p>
        </w:tc>
        <w:tc>
          <w:tcPr>
            <w:tcW w:w="1323" w:type="dxa"/>
            <w:noWrap w:val="0"/>
            <w:vAlign w:val="center"/>
          </w:tcPr>
          <w:p w14:paraId="37448FA4">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15</w:t>
            </w:r>
          </w:p>
        </w:tc>
        <w:tc>
          <w:tcPr>
            <w:tcW w:w="5018" w:type="dxa"/>
            <w:noWrap w:val="0"/>
            <w:vAlign w:val="center"/>
          </w:tcPr>
          <w:p w14:paraId="1D045CE6">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 xml:space="preserve">根据投标人提供的项目的运输、交货、验收等方面的实施方案的完整性、合理性、可行性进行打分。 </w:t>
            </w:r>
          </w:p>
          <w:p w14:paraId="4EFF48B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 xml:space="preserve">完整性高、合理性高或可行性高的得 </w:t>
            </w:r>
            <w:r>
              <w:rPr>
                <w:rFonts w:hint="eastAsia" w:cs="Times New Roman" w:asciiTheme="minorEastAsia" w:hAnsiTheme="minorEastAsia"/>
                <w:b w:val="0"/>
                <w:bCs/>
                <w:color w:val="auto"/>
                <w:sz w:val="24"/>
                <w:szCs w:val="24"/>
                <w:highlight w:val="none"/>
                <w:lang w:val="en-US" w:eastAsia="zh-CN"/>
              </w:rPr>
              <w:t>7-10</w:t>
            </w:r>
            <w:r>
              <w:rPr>
                <w:rFonts w:hint="eastAsia" w:eastAsia="宋体" w:cs="Times New Roman" w:asciiTheme="minorEastAsia" w:hAnsiTheme="minorEastAsia"/>
                <w:b w:val="0"/>
                <w:bCs/>
                <w:color w:val="auto"/>
                <w:sz w:val="24"/>
                <w:szCs w:val="24"/>
                <w:highlight w:val="none"/>
                <w:lang w:val="en-US" w:eastAsia="zh-CN"/>
              </w:rPr>
              <w:t xml:space="preserve">分；完整性一般或合理性一 般或可行性一般的得 </w:t>
            </w:r>
            <w:r>
              <w:rPr>
                <w:rFonts w:hint="eastAsia" w:cs="Times New Roman" w:asciiTheme="minorEastAsia" w:hAnsiTheme="minorEastAsia"/>
                <w:b w:val="0"/>
                <w:bCs/>
                <w:color w:val="auto"/>
                <w:sz w:val="24"/>
                <w:szCs w:val="24"/>
                <w:highlight w:val="none"/>
                <w:lang w:val="en-US" w:eastAsia="zh-CN"/>
              </w:rPr>
              <w:t>4-6</w:t>
            </w:r>
            <w:r>
              <w:rPr>
                <w:rFonts w:hint="eastAsia" w:eastAsia="宋体" w:cs="Times New Roman" w:asciiTheme="minorEastAsia" w:hAnsiTheme="minorEastAsia"/>
                <w:b w:val="0"/>
                <w:bCs/>
                <w:color w:val="auto"/>
                <w:sz w:val="24"/>
                <w:szCs w:val="24"/>
                <w:highlight w:val="none"/>
                <w:lang w:val="en-US" w:eastAsia="zh-CN"/>
              </w:rPr>
              <w:t>分；完整性差或合理性差或可行性差的得 1</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val="en-US" w:eastAsia="zh-CN"/>
              </w:rPr>
              <w:t xml:space="preserve"> 分；</w:t>
            </w:r>
          </w:p>
        </w:tc>
      </w:tr>
      <w:tr w14:paraId="09A498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vMerge w:val="restart"/>
            <w:noWrap w:val="0"/>
            <w:vAlign w:val="center"/>
          </w:tcPr>
          <w:p w14:paraId="6566DCED">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3061" w:type="dxa"/>
            <w:vMerge w:val="restart"/>
            <w:noWrap w:val="0"/>
            <w:vAlign w:val="center"/>
          </w:tcPr>
          <w:p w14:paraId="76EADAF1">
            <w:pPr>
              <w:jc w:val="center"/>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样品</w:t>
            </w:r>
          </w:p>
        </w:tc>
        <w:tc>
          <w:tcPr>
            <w:tcW w:w="1323" w:type="dxa"/>
            <w:noWrap w:val="0"/>
            <w:vAlign w:val="center"/>
          </w:tcPr>
          <w:p w14:paraId="032AA53C">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4E364012">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样品的材质、纸面是否平整细致、是否干净均匀。 </w:t>
            </w:r>
          </w:p>
          <w:p w14:paraId="7B8E90F8">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样品材质优秀、纸面平整细致、干净均匀的得 7-10 分； </w:t>
            </w:r>
          </w:p>
          <w:p w14:paraId="46CBAB69">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样品材质一般或纸面平整度细致度一般或干净均匀程度一般的得 4-6 分； </w:t>
            </w:r>
          </w:p>
          <w:p w14:paraId="06650937">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样品材质较差或纸面平整度细致度较差或干净均匀程度较差的得 1-3 分； </w:t>
            </w:r>
          </w:p>
          <w:p w14:paraId="410A3159">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未提供样品的，此项不得分。</w:t>
            </w:r>
          </w:p>
        </w:tc>
      </w:tr>
      <w:tr w14:paraId="21300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vMerge w:val="continue"/>
            <w:noWrap w:val="0"/>
            <w:vAlign w:val="center"/>
          </w:tcPr>
          <w:p w14:paraId="13502EC7">
            <w:pPr>
              <w:jc w:val="center"/>
              <w:rPr>
                <w:rFonts w:hint="eastAsia" w:asciiTheme="minorEastAsia" w:hAnsiTheme="minorEastAsia"/>
                <w:b w:val="0"/>
                <w:bCs/>
                <w:color w:val="auto"/>
                <w:sz w:val="24"/>
                <w:szCs w:val="24"/>
                <w:highlight w:val="none"/>
                <w:lang w:val="en-US" w:eastAsia="zh-CN"/>
              </w:rPr>
            </w:pPr>
          </w:p>
        </w:tc>
        <w:tc>
          <w:tcPr>
            <w:tcW w:w="3061" w:type="dxa"/>
            <w:vMerge w:val="continue"/>
            <w:noWrap w:val="0"/>
            <w:vAlign w:val="center"/>
          </w:tcPr>
          <w:p w14:paraId="5CC315E4">
            <w:pPr>
              <w:jc w:val="center"/>
              <w:rPr>
                <w:rFonts w:hint="eastAsia" w:cs="Times New Roman" w:asciiTheme="minorEastAsia" w:hAnsiTheme="minorEastAsia"/>
                <w:b w:val="0"/>
                <w:bCs/>
                <w:color w:val="auto"/>
                <w:sz w:val="24"/>
                <w:szCs w:val="24"/>
                <w:highlight w:val="none"/>
                <w:lang w:eastAsia="zh-CN"/>
              </w:rPr>
            </w:pPr>
          </w:p>
        </w:tc>
        <w:tc>
          <w:tcPr>
            <w:tcW w:w="1323" w:type="dxa"/>
            <w:noWrap w:val="0"/>
            <w:vAlign w:val="center"/>
          </w:tcPr>
          <w:p w14:paraId="7133856B">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3D02EFE">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样品的打印效果是否色彩对比度强、吸墨能力强、过机流畅等方面综合评审。 </w:t>
            </w:r>
          </w:p>
          <w:p w14:paraId="39DF7180">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样品色彩对比度强、吸墨能力强、过机流畅的得 7-10 分； </w:t>
            </w:r>
          </w:p>
          <w:p w14:paraId="5D2BB7ED">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样品色彩对比度一般或吸墨能力一般或过机流畅度一般的得 4-6 分； </w:t>
            </w:r>
          </w:p>
          <w:p w14:paraId="5A9F9E04">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样品色彩对比度较差或吸墨能力较差或过机流畅度较差的得 1-3分； </w:t>
            </w:r>
          </w:p>
          <w:p w14:paraId="703130DB">
            <w:pPr>
              <w:jc w:val="left"/>
              <w:rPr>
                <w:rFonts w:hint="eastAsia"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未提供样品的，此项不得分。</w:t>
            </w:r>
          </w:p>
        </w:tc>
      </w:tr>
      <w:tr w14:paraId="303498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6F0A9EBB">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4</w:t>
            </w:r>
          </w:p>
        </w:tc>
        <w:tc>
          <w:tcPr>
            <w:tcW w:w="3061" w:type="dxa"/>
            <w:noWrap w:val="0"/>
            <w:vAlign w:val="center"/>
          </w:tcPr>
          <w:p w14:paraId="4B8559A7">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质量保障措施</w:t>
            </w:r>
          </w:p>
        </w:tc>
        <w:tc>
          <w:tcPr>
            <w:tcW w:w="1323" w:type="dxa"/>
            <w:noWrap w:val="0"/>
            <w:vAlign w:val="center"/>
          </w:tcPr>
          <w:p w14:paraId="5AAE561E">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7</w:t>
            </w:r>
          </w:p>
        </w:tc>
        <w:tc>
          <w:tcPr>
            <w:tcW w:w="5018" w:type="dxa"/>
            <w:noWrap w:val="0"/>
            <w:vAlign w:val="center"/>
          </w:tcPr>
          <w:p w14:paraId="63529EFF">
            <w:pPr>
              <w:jc w:val="left"/>
              <w:rPr>
                <w:rFonts w:hint="eastAsia" w:eastAsia="宋体"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针</w:t>
            </w:r>
            <w:r>
              <w:rPr>
                <w:rFonts w:hint="default" w:cs="Times New Roman" w:asciiTheme="minorEastAsia" w:hAnsiTheme="minorEastAsia"/>
                <w:b w:val="0"/>
                <w:bCs/>
                <w:color w:val="auto"/>
                <w:sz w:val="24"/>
                <w:szCs w:val="24"/>
                <w:highlight w:val="none"/>
                <w:lang w:val="en-US" w:eastAsia="zh-CN"/>
              </w:rPr>
              <w:t>对</w:t>
            </w:r>
            <w:r>
              <w:rPr>
                <w:rFonts w:hint="eastAsia" w:cs="Times New Roman" w:asciiTheme="minorEastAsia" w:hAnsiTheme="minorEastAsia"/>
                <w:b w:val="0"/>
                <w:bCs/>
                <w:color w:val="auto"/>
                <w:sz w:val="24"/>
                <w:szCs w:val="24"/>
                <w:highlight w:val="none"/>
                <w:lang w:val="en-US" w:eastAsia="zh-CN"/>
              </w:rPr>
              <w:t>质量问题的退换货承诺</w:t>
            </w:r>
            <w:r>
              <w:rPr>
                <w:rFonts w:hint="default" w:cs="Times New Roman" w:asciiTheme="minorEastAsia" w:hAnsiTheme="minorEastAsia"/>
                <w:b w:val="0"/>
                <w:bCs/>
                <w:color w:val="auto"/>
                <w:sz w:val="24"/>
                <w:szCs w:val="24"/>
                <w:highlight w:val="none"/>
                <w:lang w:val="en-US" w:eastAsia="zh-CN"/>
              </w:rPr>
              <w:t>有妥善的处理能力和详尽的技术预案</w:t>
            </w:r>
            <w:r>
              <w:rPr>
                <w:rFonts w:hint="eastAsia" w:cs="Times New Roman" w:asciiTheme="minorEastAsia" w:hAnsiTheme="minorEastAsia"/>
                <w:b w:val="0"/>
                <w:bCs/>
                <w:color w:val="auto"/>
                <w:sz w:val="24"/>
                <w:szCs w:val="24"/>
                <w:highlight w:val="none"/>
                <w:lang w:val="en-US" w:eastAsia="zh-CN"/>
              </w:rPr>
              <w:t>、针对本项目的应急方案等进行综合比较打分，A档:7-5分；B档：5-3分 ；C档：2-0分。</w:t>
            </w:r>
          </w:p>
        </w:tc>
      </w:tr>
      <w:tr w14:paraId="113405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47E92F30">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5</w:t>
            </w:r>
          </w:p>
        </w:tc>
        <w:tc>
          <w:tcPr>
            <w:tcW w:w="3061" w:type="dxa"/>
            <w:noWrap w:val="0"/>
            <w:vAlign w:val="center"/>
          </w:tcPr>
          <w:p w14:paraId="6979DCF1">
            <w:pPr>
              <w:jc w:val="center"/>
              <w:rPr>
                <w:rFonts w:hint="eastAsia" w:cs="Times New Roman" w:asciiTheme="minorEastAsia" w:hAnsiTheme="minorEastAsia"/>
                <w:b w:val="0"/>
                <w:bCs/>
                <w:color w:val="auto"/>
                <w:sz w:val="24"/>
                <w:szCs w:val="24"/>
                <w:highlight w:val="none"/>
                <w:lang w:eastAsia="zh-CN"/>
              </w:rPr>
            </w:pPr>
            <w:r>
              <w:rPr>
                <w:rFonts w:hint="eastAsia" w:ascii="新宋体" w:hAnsi="新宋体" w:eastAsia="新宋体" w:cs="新宋体"/>
                <w:color w:val="auto"/>
                <w:sz w:val="22"/>
                <w:szCs w:val="22"/>
                <w:highlight w:val="none"/>
                <w:lang w:val="en-US" w:eastAsia="zh-CN"/>
              </w:rPr>
              <w:t>服务能力</w:t>
            </w:r>
          </w:p>
        </w:tc>
        <w:tc>
          <w:tcPr>
            <w:tcW w:w="1323" w:type="dxa"/>
            <w:noWrap w:val="0"/>
            <w:vAlign w:val="center"/>
          </w:tcPr>
          <w:p w14:paraId="0118FFA4">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07D15E1">
            <w:pPr>
              <w:widowControl/>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针对本项目能按要求的时间供货的有关承诺、配送人员的配备情况、供应商配送时效、营业时间等</w:t>
            </w:r>
            <w:r>
              <w:rPr>
                <w:rFonts w:hint="eastAsia" w:ascii="新宋体" w:hAnsi="新宋体" w:eastAsia="新宋体" w:cs="新宋体"/>
                <w:color w:val="auto"/>
                <w:sz w:val="22"/>
                <w:szCs w:val="22"/>
                <w:highlight w:val="none"/>
                <w:lang w:val="zh-CN" w:eastAsia="zh-CN"/>
              </w:rPr>
              <w:t>等情况的服务优劣程度</w:t>
            </w:r>
            <w:r>
              <w:rPr>
                <w:rFonts w:hint="eastAsia" w:ascii="宋体" w:hAnsi="宋体" w:eastAsia="宋体" w:cs="宋体"/>
                <w:color w:val="auto"/>
                <w:kern w:val="0"/>
                <w:sz w:val="22"/>
                <w:lang w:val="en-US" w:eastAsia="zh-CN"/>
              </w:rPr>
              <w:t>。</w:t>
            </w:r>
          </w:p>
          <w:p w14:paraId="41F3D0AA">
            <w:pPr>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A档:10-7分；B档：7-4分 ；C档：3-0分。</w:t>
            </w:r>
          </w:p>
        </w:tc>
      </w:tr>
      <w:tr w14:paraId="5EAC9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357A4C5">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6</w:t>
            </w:r>
          </w:p>
        </w:tc>
        <w:tc>
          <w:tcPr>
            <w:tcW w:w="3061" w:type="dxa"/>
            <w:noWrap w:val="0"/>
            <w:vAlign w:val="center"/>
          </w:tcPr>
          <w:p w14:paraId="530CAD0D">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val="en-US" w:eastAsia="zh-CN"/>
              </w:rPr>
              <w:t>类似业绩</w:t>
            </w:r>
          </w:p>
        </w:tc>
        <w:tc>
          <w:tcPr>
            <w:tcW w:w="1323" w:type="dxa"/>
            <w:noWrap w:val="0"/>
            <w:vAlign w:val="center"/>
          </w:tcPr>
          <w:p w14:paraId="433ED7F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5018" w:type="dxa"/>
            <w:noWrap w:val="0"/>
            <w:vAlign w:val="center"/>
          </w:tcPr>
          <w:p w14:paraId="4D27855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提供内202</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eastAsia="zh-CN"/>
              </w:rPr>
              <w:t>年1月1日起至今与最终用户签订的</w:t>
            </w:r>
            <w:r>
              <w:rPr>
                <w:rFonts w:hint="eastAsia" w:ascii="宋体" w:hAnsi="宋体" w:eastAsia="宋体" w:cs="宋体"/>
                <w:color w:val="auto"/>
                <w:kern w:val="0"/>
                <w:sz w:val="22"/>
                <w:lang w:val="en-US" w:eastAsia="zh-CN"/>
              </w:rPr>
              <w:t>办公</w:t>
            </w:r>
            <w:r>
              <w:rPr>
                <w:rFonts w:hint="eastAsia" w:ascii="宋体" w:hAnsi="宋体" w:cs="宋体"/>
                <w:color w:val="auto"/>
                <w:kern w:val="0"/>
                <w:sz w:val="22"/>
                <w:lang w:val="en-US" w:eastAsia="zh-CN"/>
              </w:rPr>
              <w:t>打印纸</w:t>
            </w:r>
            <w:r>
              <w:rPr>
                <w:rFonts w:hint="eastAsia" w:eastAsia="宋体" w:cs="Times New Roman" w:asciiTheme="minorEastAsia" w:hAnsiTheme="minorEastAsia"/>
                <w:b w:val="0"/>
                <w:bCs/>
                <w:color w:val="auto"/>
                <w:sz w:val="24"/>
                <w:szCs w:val="24"/>
                <w:highlight w:val="none"/>
                <w:lang w:eastAsia="zh-CN"/>
              </w:rPr>
              <w:t>合同复印件，每份有效合同得</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eastAsia="zh-CN"/>
              </w:rPr>
              <w:t>分，最多</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eastAsia="zh-CN"/>
              </w:rPr>
              <w:t>分。（与同一采购人签订的多份合同或协议视为一个业绩）</w:t>
            </w:r>
            <w:r>
              <w:rPr>
                <w:rFonts w:hint="eastAsia" w:cs="Times New Roman" w:asciiTheme="minorEastAsia" w:hAnsiTheme="minorEastAsia"/>
                <w:b w:val="0"/>
                <w:bCs/>
                <w:color w:val="auto"/>
                <w:sz w:val="24"/>
                <w:szCs w:val="24"/>
                <w:highlight w:val="none"/>
                <w:lang w:eastAsia="zh-CN"/>
              </w:rPr>
              <w:t>。</w:t>
            </w:r>
          </w:p>
        </w:tc>
      </w:tr>
    </w:tbl>
    <w:p w14:paraId="444CBECD">
      <w:pPr>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w:t>
      </w:r>
      <w:r>
        <w:rPr>
          <w:rFonts w:hint="eastAsia" w:asciiTheme="minorEastAsia" w:hAnsiTheme="minorEastAsia"/>
          <w:b/>
          <w:bCs/>
          <w:color w:val="FF0000"/>
          <w:sz w:val="24"/>
          <w:szCs w:val="24"/>
          <w:u w:val="single"/>
        </w:rPr>
        <w:t>如报价低于</w:t>
      </w:r>
      <w:r>
        <w:rPr>
          <w:rFonts w:hint="eastAsia" w:asciiTheme="minorEastAsia" w:hAnsiTheme="minorEastAsia"/>
          <w:b/>
          <w:bCs/>
          <w:color w:val="FF0000"/>
          <w:sz w:val="24"/>
          <w:szCs w:val="24"/>
          <w:u w:val="single"/>
          <w:lang w:eastAsia="zh-CN"/>
        </w:rPr>
        <w:t>所有投标人</w:t>
      </w:r>
      <w:r>
        <w:rPr>
          <w:rFonts w:hint="eastAsia" w:asciiTheme="minorEastAsia" w:hAnsiTheme="minorEastAsia"/>
          <w:b/>
          <w:bCs/>
          <w:color w:val="FF0000"/>
          <w:sz w:val="24"/>
          <w:szCs w:val="24"/>
          <w:u w:val="single"/>
        </w:rPr>
        <w:t>平均</w:t>
      </w:r>
      <w:r>
        <w:rPr>
          <w:rFonts w:hint="eastAsia" w:asciiTheme="minorEastAsia" w:hAnsiTheme="minorEastAsia"/>
          <w:b/>
          <w:bCs/>
          <w:color w:val="FF0000"/>
          <w:sz w:val="24"/>
          <w:szCs w:val="24"/>
          <w:u w:val="single"/>
          <w:lang w:eastAsia="zh-CN"/>
        </w:rPr>
        <w:t>报</w:t>
      </w:r>
      <w:r>
        <w:rPr>
          <w:rFonts w:hint="eastAsia" w:asciiTheme="minorEastAsia" w:hAnsiTheme="minorEastAsia"/>
          <w:b/>
          <w:bCs/>
          <w:color w:val="FF0000"/>
          <w:sz w:val="24"/>
          <w:szCs w:val="24"/>
          <w:u w:val="single"/>
        </w:rPr>
        <w:t>价</w:t>
      </w:r>
      <w:r>
        <w:rPr>
          <w:rFonts w:hint="eastAsia" w:asciiTheme="minorEastAsia" w:hAnsiTheme="minorEastAsia"/>
          <w:b/>
          <w:bCs/>
          <w:color w:val="FF0000"/>
          <w:sz w:val="24"/>
          <w:szCs w:val="24"/>
          <w:u w:val="single"/>
          <w:lang w:eastAsia="zh-CN"/>
        </w:rPr>
        <w:t>的</w:t>
      </w:r>
      <w:r>
        <w:rPr>
          <w:rFonts w:hint="eastAsia" w:asciiTheme="minorEastAsia" w:hAnsiTheme="minorEastAsia"/>
          <w:b/>
          <w:bCs/>
          <w:color w:val="FF0000"/>
          <w:sz w:val="24"/>
          <w:szCs w:val="24"/>
          <w:u w:val="single"/>
          <w:lang w:val="en-US" w:eastAsia="zh-CN"/>
        </w:rPr>
        <w:t>50%</w:t>
      </w:r>
      <w:r>
        <w:rPr>
          <w:rFonts w:hint="eastAsia" w:asciiTheme="minorEastAsia" w:hAnsiTheme="minorEastAsia"/>
          <w:b/>
          <w:bCs/>
          <w:color w:val="FF0000"/>
          <w:sz w:val="24"/>
          <w:szCs w:val="24"/>
          <w:u w:val="single"/>
        </w:rPr>
        <w:t>时，需提供成本说明，否则视为无效投标</w:t>
      </w:r>
      <w:r>
        <w:rPr>
          <w:rFonts w:hint="eastAsia" w:asciiTheme="minorEastAsia" w:hAnsiTheme="minorEastAsia"/>
          <w:b/>
          <w:bCs/>
          <w:color w:val="FF0000"/>
          <w:sz w:val="24"/>
          <w:szCs w:val="24"/>
          <w:u w:val="single"/>
          <w:lang w:eastAsia="zh-CN"/>
        </w:rPr>
        <w:t>。</w:t>
      </w:r>
      <w:r>
        <w:rPr>
          <w:rFonts w:hint="eastAsia" w:asciiTheme="majorEastAsia" w:hAnsiTheme="majorEastAsia" w:eastAsiaTheme="majorEastAsia" w:cstheme="majorEastAsia"/>
          <w:color w:val="auto"/>
          <w:sz w:val="24"/>
          <w:szCs w:val="24"/>
          <w:highlight w:val="none"/>
        </w:rPr>
        <w:t>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40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（4）投标人所报总价不得超过预算金额，否则当无效标处理。</w:t>
      </w:r>
    </w:p>
    <w:p w14:paraId="28CF6C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712B17B5">
      <w:pPr>
        <w:spacing w:line="360" w:lineRule="auto"/>
        <w:rPr>
          <w:rFonts w:hint="default"/>
          <w:color w:val="auto"/>
          <w:highlight w:val="none"/>
          <w:lang w:val="en-US" w:eastAsia="zh-CN"/>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rPr>
          <w:rFonts w:hint="default"/>
          <w:highlight w:val="none"/>
          <w:lang w:val="en-US" w:eastAsia="zh-CN"/>
        </w:rPr>
      </w:pPr>
    </w:p>
    <w:p w14:paraId="6E6BF2FA">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63A267B8">
      <w:pPr>
        <w:widowControl/>
        <w:spacing w:line="360" w:lineRule="auto"/>
        <w:jc w:val="left"/>
        <w:rPr>
          <w:sz w:val="24"/>
          <w:szCs w:val="24"/>
          <w:highlight w:val="none"/>
        </w:rPr>
      </w:pPr>
      <w:r>
        <w:rPr>
          <w:sz w:val="24"/>
          <w:szCs w:val="24"/>
          <w:highlight w:val="none"/>
        </w:rPr>
        <w:br w:type="page"/>
      </w: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hint="default" w:ascii="宋体" w:hAnsi="宋体" w:eastAsia="宋体" w:cs="Arial"/>
          <w:b/>
          <w:bCs/>
          <w:sz w:val="24"/>
          <w:szCs w:val="24"/>
          <w:highlight w:val="none"/>
          <w:lang w:val="en-US" w:eastAsia="zh-CN"/>
        </w:rPr>
      </w:pPr>
      <w:r>
        <w:rPr>
          <w:rFonts w:hint="eastAsia" w:ascii="宋体" w:hAnsi="宋体" w:cs="Arial"/>
          <w:b/>
          <w:bCs/>
          <w:sz w:val="24"/>
          <w:szCs w:val="24"/>
          <w:highlight w:val="none"/>
          <w:lang w:val="en-US" w:eastAsia="zh-CN"/>
        </w:rPr>
        <w:t>报价清单请按预估数量×预估单价为总报价。</w:t>
      </w: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Segoe UI">
    <w:panose1 w:val="020B0502040204020203"/>
    <w:charset w:val="00"/>
    <w:family w:val="auto"/>
    <w:pitch w:val="default"/>
    <w:sig w:usb0="E10022FF" w:usb1="C000E47F" w:usb2="00000029" w:usb3="00000000" w:csb0="200001DF" w:csb1="2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899EC"/>
    <w:multiLevelType w:val="singleLevel"/>
    <w:tmpl w:val="A52899EC"/>
    <w:lvl w:ilvl="0" w:tentative="0">
      <w:start w:val="1"/>
      <w:numFmt w:val="decimal"/>
      <w:suff w:val="nothing"/>
      <w:lvlText w:val="%1、"/>
      <w:lvlJc w:val="left"/>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693733"/>
    <w:rsid w:val="02702D13"/>
    <w:rsid w:val="02AE55E9"/>
    <w:rsid w:val="037F7C73"/>
    <w:rsid w:val="0399071A"/>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5D610DF"/>
    <w:rsid w:val="063437DC"/>
    <w:rsid w:val="063F15D1"/>
    <w:rsid w:val="0663284C"/>
    <w:rsid w:val="06770E4D"/>
    <w:rsid w:val="07016BD4"/>
    <w:rsid w:val="07B40FAC"/>
    <w:rsid w:val="07F608F1"/>
    <w:rsid w:val="084367D4"/>
    <w:rsid w:val="08A43261"/>
    <w:rsid w:val="09181A0E"/>
    <w:rsid w:val="09414AC1"/>
    <w:rsid w:val="09682EB8"/>
    <w:rsid w:val="09701596"/>
    <w:rsid w:val="09B01196"/>
    <w:rsid w:val="09EF276F"/>
    <w:rsid w:val="0A1041B5"/>
    <w:rsid w:val="0A155669"/>
    <w:rsid w:val="0A992ACF"/>
    <w:rsid w:val="0AAC082D"/>
    <w:rsid w:val="0ABB16FD"/>
    <w:rsid w:val="0B280B93"/>
    <w:rsid w:val="0B9E1294"/>
    <w:rsid w:val="0C0F6D61"/>
    <w:rsid w:val="0C1C35C4"/>
    <w:rsid w:val="0C3E373D"/>
    <w:rsid w:val="0C48260B"/>
    <w:rsid w:val="0C811679"/>
    <w:rsid w:val="0C88659A"/>
    <w:rsid w:val="0C9814B5"/>
    <w:rsid w:val="0C992E66"/>
    <w:rsid w:val="0CB67574"/>
    <w:rsid w:val="0CD74F4E"/>
    <w:rsid w:val="0D625D59"/>
    <w:rsid w:val="0DCF4D92"/>
    <w:rsid w:val="0DD57DA6"/>
    <w:rsid w:val="0E1D50C2"/>
    <w:rsid w:val="0E2B3F92"/>
    <w:rsid w:val="0EB126E9"/>
    <w:rsid w:val="0FC6104D"/>
    <w:rsid w:val="0FD86205"/>
    <w:rsid w:val="0FFD20EE"/>
    <w:rsid w:val="102D3FF1"/>
    <w:rsid w:val="107C5C0E"/>
    <w:rsid w:val="10D95F27"/>
    <w:rsid w:val="10F36FE9"/>
    <w:rsid w:val="110E0BAC"/>
    <w:rsid w:val="114C494B"/>
    <w:rsid w:val="11CB32F9"/>
    <w:rsid w:val="127B54E8"/>
    <w:rsid w:val="12B22195"/>
    <w:rsid w:val="13176A48"/>
    <w:rsid w:val="131E40C5"/>
    <w:rsid w:val="13823917"/>
    <w:rsid w:val="13CA1F19"/>
    <w:rsid w:val="13DD44F2"/>
    <w:rsid w:val="144E2A5F"/>
    <w:rsid w:val="14CA0061"/>
    <w:rsid w:val="14D507B4"/>
    <w:rsid w:val="14E32ED1"/>
    <w:rsid w:val="15E52C78"/>
    <w:rsid w:val="16325C9C"/>
    <w:rsid w:val="166B13D0"/>
    <w:rsid w:val="16B234A2"/>
    <w:rsid w:val="16BF796D"/>
    <w:rsid w:val="16E70179"/>
    <w:rsid w:val="173845ED"/>
    <w:rsid w:val="17856145"/>
    <w:rsid w:val="17FD24FB"/>
    <w:rsid w:val="18185587"/>
    <w:rsid w:val="182201B4"/>
    <w:rsid w:val="184523CE"/>
    <w:rsid w:val="184E706F"/>
    <w:rsid w:val="187B02C7"/>
    <w:rsid w:val="18E17A47"/>
    <w:rsid w:val="18F00A8A"/>
    <w:rsid w:val="19235266"/>
    <w:rsid w:val="196C08F1"/>
    <w:rsid w:val="1A2521DD"/>
    <w:rsid w:val="1A846F04"/>
    <w:rsid w:val="1A935399"/>
    <w:rsid w:val="1AAF0E80"/>
    <w:rsid w:val="1AC51655"/>
    <w:rsid w:val="1ADA6B24"/>
    <w:rsid w:val="1B4D379A"/>
    <w:rsid w:val="1B5C4EFB"/>
    <w:rsid w:val="1B676A58"/>
    <w:rsid w:val="1B6D2EC4"/>
    <w:rsid w:val="1B943177"/>
    <w:rsid w:val="1B9969DF"/>
    <w:rsid w:val="1BCD3B84"/>
    <w:rsid w:val="1BD532AE"/>
    <w:rsid w:val="1C275729"/>
    <w:rsid w:val="1C5D4C5D"/>
    <w:rsid w:val="1C8431EB"/>
    <w:rsid w:val="1CCE26B8"/>
    <w:rsid w:val="1CDE389D"/>
    <w:rsid w:val="1D525097"/>
    <w:rsid w:val="1DDC2BB3"/>
    <w:rsid w:val="1DF63C75"/>
    <w:rsid w:val="1DF655C9"/>
    <w:rsid w:val="1E01086B"/>
    <w:rsid w:val="1E05197A"/>
    <w:rsid w:val="1E6432D4"/>
    <w:rsid w:val="1E82375A"/>
    <w:rsid w:val="1E960FB4"/>
    <w:rsid w:val="1EEA7AC6"/>
    <w:rsid w:val="1F090697"/>
    <w:rsid w:val="1F7B5265"/>
    <w:rsid w:val="1FD92A7D"/>
    <w:rsid w:val="20140D2A"/>
    <w:rsid w:val="203B6D03"/>
    <w:rsid w:val="206A26F8"/>
    <w:rsid w:val="207215AC"/>
    <w:rsid w:val="20825C93"/>
    <w:rsid w:val="20AC4ABE"/>
    <w:rsid w:val="20B300B6"/>
    <w:rsid w:val="20BE4494"/>
    <w:rsid w:val="210B5C89"/>
    <w:rsid w:val="213056EF"/>
    <w:rsid w:val="214B19AF"/>
    <w:rsid w:val="219C2D85"/>
    <w:rsid w:val="21AE1BD8"/>
    <w:rsid w:val="21B53E47"/>
    <w:rsid w:val="21E30D42"/>
    <w:rsid w:val="22201238"/>
    <w:rsid w:val="22617B2B"/>
    <w:rsid w:val="226A4C31"/>
    <w:rsid w:val="226B2757"/>
    <w:rsid w:val="22B74B50"/>
    <w:rsid w:val="22C500B9"/>
    <w:rsid w:val="22F4274D"/>
    <w:rsid w:val="23086FED"/>
    <w:rsid w:val="23696C97"/>
    <w:rsid w:val="23CB5BA3"/>
    <w:rsid w:val="23DD5975"/>
    <w:rsid w:val="23E822B1"/>
    <w:rsid w:val="23FA2DFB"/>
    <w:rsid w:val="242D0576"/>
    <w:rsid w:val="24BE3012"/>
    <w:rsid w:val="250003E1"/>
    <w:rsid w:val="250032EF"/>
    <w:rsid w:val="25396B3D"/>
    <w:rsid w:val="256F255E"/>
    <w:rsid w:val="2601367E"/>
    <w:rsid w:val="260E1459"/>
    <w:rsid w:val="26647BE9"/>
    <w:rsid w:val="26CB1FFA"/>
    <w:rsid w:val="277327DA"/>
    <w:rsid w:val="278A02F5"/>
    <w:rsid w:val="27AC7A9A"/>
    <w:rsid w:val="27BA6FBE"/>
    <w:rsid w:val="282707F3"/>
    <w:rsid w:val="28AC341B"/>
    <w:rsid w:val="28F33F9C"/>
    <w:rsid w:val="290B7C96"/>
    <w:rsid w:val="299E3412"/>
    <w:rsid w:val="29CC6E69"/>
    <w:rsid w:val="2A24600D"/>
    <w:rsid w:val="2A4B17EC"/>
    <w:rsid w:val="2A5A1159"/>
    <w:rsid w:val="2B0D5F6D"/>
    <w:rsid w:val="2B683928"/>
    <w:rsid w:val="2C025EDA"/>
    <w:rsid w:val="2C0E0D23"/>
    <w:rsid w:val="2C273B93"/>
    <w:rsid w:val="2C412EA7"/>
    <w:rsid w:val="2C7F2D90"/>
    <w:rsid w:val="2C8402CC"/>
    <w:rsid w:val="2C8965FC"/>
    <w:rsid w:val="2C9F3729"/>
    <w:rsid w:val="2CD25DAF"/>
    <w:rsid w:val="2D381852"/>
    <w:rsid w:val="2D511CA4"/>
    <w:rsid w:val="2D990AC0"/>
    <w:rsid w:val="2DAF3E40"/>
    <w:rsid w:val="2DDA4C9A"/>
    <w:rsid w:val="2DE55AB4"/>
    <w:rsid w:val="2DFA155F"/>
    <w:rsid w:val="2E0C3A22"/>
    <w:rsid w:val="2E0D1483"/>
    <w:rsid w:val="2E3D7EEF"/>
    <w:rsid w:val="2E761BEF"/>
    <w:rsid w:val="2EBB4BEE"/>
    <w:rsid w:val="2F137233"/>
    <w:rsid w:val="2FDA59F2"/>
    <w:rsid w:val="2FEF49C8"/>
    <w:rsid w:val="30393E95"/>
    <w:rsid w:val="306A77ED"/>
    <w:rsid w:val="309B0E6F"/>
    <w:rsid w:val="30E3452C"/>
    <w:rsid w:val="319C6045"/>
    <w:rsid w:val="31B41C0A"/>
    <w:rsid w:val="31B45EC9"/>
    <w:rsid w:val="31BB0FE7"/>
    <w:rsid w:val="31D54EF7"/>
    <w:rsid w:val="31EB11BF"/>
    <w:rsid w:val="32351D06"/>
    <w:rsid w:val="324B2329"/>
    <w:rsid w:val="326B7C1E"/>
    <w:rsid w:val="32A83B15"/>
    <w:rsid w:val="32AE46C6"/>
    <w:rsid w:val="32E6579B"/>
    <w:rsid w:val="33395E7A"/>
    <w:rsid w:val="33454756"/>
    <w:rsid w:val="3345781A"/>
    <w:rsid w:val="33950813"/>
    <w:rsid w:val="33B91786"/>
    <w:rsid w:val="33D60378"/>
    <w:rsid w:val="33EA7980"/>
    <w:rsid w:val="356419B4"/>
    <w:rsid w:val="35F9034E"/>
    <w:rsid w:val="365A27C8"/>
    <w:rsid w:val="3694744F"/>
    <w:rsid w:val="36B978CE"/>
    <w:rsid w:val="373F4487"/>
    <w:rsid w:val="37894282"/>
    <w:rsid w:val="378C2AA9"/>
    <w:rsid w:val="38341477"/>
    <w:rsid w:val="38A6160E"/>
    <w:rsid w:val="38C34C43"/>
    <w:rsid w:val="38C43CA9"/>
    <w:rsid w:val="39495F88"/>
    <w:rsid w:val="39826B31"/>
    <w:rsid w:val="39A6259B"/>
    <w:rsid w:val="3AB4342E"/>
    <w:rsid w:val="3AD44EE6"/>
    <w:rsid w:val="3B781D15"/>
    <w:rsid w:val="3B9052B1"/>
    <w:rsid w:val="3BE55E13"/>
    <w:rsid w:val="3C2D2B00"/>
    <w:rsid w:val="3C4B3FC2"/>
    <w:rsid w:val="3C990FCB"/>
    <w:rsid w:val="3D7E46A8"/>
    <w:rsid w:val="3DA34099"/>
    <w:rsid w:val="3DF81D2A"/>
    <w:rsid w:val="3E1A70B4"/>
    <w:rsid w:val="3E4A79FC"/>
    <w:rsid w:val="3E5E1BF9"/>
    <w:rsid w:val="3E75078E"/>
    <w:rsid w:val="3EA03A5D"/>
    <w:rsid w:val="3ECF1148"/>
    <w:rsid w:val="3EDC25BB"/>
    <w:rsid w:val="3F1F65DD"/>
    <w:rsid w:val="3FB757CD"/>
    <w:rsid w:val="3FB80293"/>
    <w:rsid w:val="3FBD724F"/>
    <w:rsid w:val="3FEE56D0"/>
    <w:rsid w:val="3FFD4EDF"/>
    <w:rsid w:val="40034CE0"/>
    <w:rsid w:val="4045722C"/>
    <w:rsid w:val="407209E5"/>
    <w:rsid w:val="40D7128C"/>
    <w:rsid w:val="40EB11DB"/>
    <w:rsid w:val="41272213"/>
    <w:rsid w:val="413F4786"/>
    <w:rsid w:val="41DF2AEE"/>
    <w:rsid w:val="42162BD2"/>
    <w:rsid w:val="42186000"/>
    <w:rsid w:val="423A5616"/>
    <w:rsid w:val="426923B8"/>
    <w:rsid w:val="42AD0108"/>
    <w:rsid w:val="42CE4911"/>
    <w:rsid w:val="42E12896"/>
    <w:rsid w:val="42E303BC"/>
    <w:rsid w:val="436B215F"/>
    <w:rsid w:val="43703F00"/>
    <w:rsid w:val="43713C1A"/>
    <w:rsid w:val="43F319C0"/>
    <w:rsid w:val="43F53D29"/>
    <w:rsid w:val="44052F6D"/>
    <w:rsid w:val="4458226F"/>
    <w:rsid w:val="445C54F5"/>
    <w:rsid w:val="44867251"/>
    <w:rsid w:val="449A0F4E"/>
    <w:rsid w:val="44CD4E80"/>
    <w:rsid w:val="44ED72D0"/>
    <w:rsid w:val="458A4B1F"/>
    <w:rsid w:val="45B84D5C"/>
    <w:rsid w:val="461C6516"/>
    <w:rsid w:val="46217054"/>
    <w:rsid w:val="46226C7C"/>
    <w:rsid w:val="46254F1A"/>
    <w:rsid w:val="475A0D14"/>
    <w:rsid w:val="47B02837"/>
    <w:rsid w:val="48485148"/>
    <w:rsid w:val="48861F15"/>
    <w:rsid w:val="48A905A4"/>
    <w:rsid w:val="48BB1493"/>
    <w:rsid w:val="49044BE8"/>
    <w:rsid w:val="491D3EFC"/>
    <w:rsid w:val="498D2E30"/>
    <w:rsid w:val="49F45D1E"/>
    <w:rsid w:val="4A154C94"/>
    <w:rsid w:val="4A5C0AFE"/>
    <w:rsid w:val="4A810264"/>
    <w:rsid w:val="4ACB490C"/>
    <w:rsid w:val="4B2D35EC"/>
    <w:rsid w:val="4B3F63AB"/>
    <w:rsid w:val="4B6173B9"/>
    <w:rsid w:val="4BA12BC2"/>
    <w:rsid w:val="4BF1634C"/>
    <w:rsid w:val="4C1A1186"/>
    <w:rsid w:val="4C1E4213"/>
    <w:rsid w:val="4C4A468F"/>
    <w:rsid w:val="4C7240D0"/>
    <w:rsid w:val="4C8C2F4B"/>
    <w:rsid w:val="4CA3296A"/>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675B8D"/>
    <w:rsid w:val="52741FD4"/>
    <w:rsid w:val="52B43B6C"/>
    <w:rsid w:val="52C665FD"/>
    <w:rsid w:val="537E1A3B"/>
    <w:rsid w:val="54B55B30"/>
    <w:rsid w:val="54D73EC6"/>
    <w:rsid w:val="54ED444E"/>
    <w:rsid w:val="552D3719"/>
    <w:rsid w:val="55961CE5"/>
    <w:rsid w:val="55E55977"/>
    <w:rsid w:val="56B72E79"/>
    <w:rsid w:val="5730129E"/>
    <w:rsid w:val="57DF67F9"/>
    <w:rsid w:val="57F56770"/>
    <w:rsid w:val="582C415B"/>
    <w:rsid w:val="585039A6"/>
    <w:rsid w:val="589B5CAA"/>
    <w:rsid w:val="58F702C5"/>
    <w:rsid w:val="58FD5F53"/>
    <w:rsid w:val="59883613"/>
    <w:rsid w:val="59D74F82"/>
    <w:rsid w:val="5A355549"/>
    <w:rsid w:val="5A807902"/>
    <w:rsid w:val="5AB04BD0"/>
    <w:rsid w:val="5AFA5E4B"/>
    <w:rsid w:val="5B044F1C"/>
    <w:rsid w:val="5B235531"/>
    <w:rsid w:val="5B5F03A4"/>
    <w:rsid w:val="5BB300C0"/>
    <w:rsid w:val="5BC43B2B"/>
    <w:rsid w:val="5C1E200D"/>
    <w:rsid w:val="5C3F2F33"/>
    <w:rsid w:val="5C7E30BB"/>
    <w:rsid w:val="5C7E5810"/>
    <w:rsid w:val="5CA54D24"/>
    <w:rsid w:val="5CD87317"/>
    <w:rsid w:val="5CE70651"/>
    <w:rsid w:val="5D5B41FF"/>
    <w:rsid w:val="5D7F0889"/>
    <w:rsid w:val="5D944335"/>
    <w:rsid w:val="5DBF01BE"/>
    <w:rsid w:val="5DEE5043"/>
    <w:rsid w:val="5DFF2431"/>
    <w:rsid w:val="5E117222"/>
    <w:rsid w:val="5E4775F9"/>
    <w:rsid w:val="5E5674C7"/>
    <w:rsid w:val="5E67480F"/>
    <w:rsid w:val="5EA17159"/>
    <w:rsid w:val="5EEB267A"/>
    <w:rsid w:val="5F8748DA"/>
    <w:rsid w:val="5FBE7D8F"/>
    <w:rsid w:val="5FDE1234"/>
    <w:rsid w:val="60086116"/>
    <w:rsid w:val="60566219"/>
    <w:rsid w:val="607E12CC"/>
    <w:rsid w:val="60C21E5F"/>
    <w:rsid w:val="60E00BE1"/>
    <w:rsid w:val="6171498D"/>
    <w:rsid w:val="61E6537B"/>
    <w:rsid w:val="62001A0A"/>
    <w:rsid w:val="621E2D67"/>
    <w:rsid w:val="628030DA"/>
    <w:rsid w:val="62AA45FB"/>
    <w:rsid w:val="62D33A10"/>
    <w:rsid w:val="62E775FD"/>
    <w:rsid w:val="63604C33"/>
    <w:rsid w:val="63653CAD"/>
    <w:rsid w:val="63B429E0"/>
    <w:rsid w:val="63F7532D"/>
    <w:rsid w:val="643407A7"/>
    <w:rsid w:val="64656A2B"/>
    <w:rsid w:val="647B1A55"/>
    <w:rsid w:val="64DB0A9B"/>
    <w:rsid w:val="65561E5B"/>
    <w:rsid w:val="6573295C"/>
    <w:rsid w:val="6582360D"/>
    <w:rsid w:val="65931DA1"/>
    <w:rsid w:val="65B5026D"/>
    <w:rsid w:val="65B50990"/>
    <w:rsid w:val="65C14135"/>
    <w:rsid w:val="65C23A09"/>
    <w:rsid w:val="65D17642"/>
    <w:rsid w:val="660404C6"/>
    <w:rsid w:val="661701F9"/>
    <w:rsid w:val="66292968"/>
    <w:rsid w:val="667761EE"/>
    <w:rsid w:val="669D6869"/>
    <w:rsid w:val="66EB7B2A"/>
    <w:rsid w:val="67201A8D"/>
    <w:rsid w:val="673E0C66"/>
    <w:rsid w:val="675170DC"/>
    <w:rsid w:val="675F33B7"/>
    <w:rsid w:val="67F91775"/>
    <w:rsid w:val="68103152"/>
    <w:rsid w:val="68A13DAA"/>
    <w:rsid w:val="68A25790"/>
    <w:rsid w:val="68CC52CB"/>
    <w:rsid w:val="69643755"/>
    <w:rsid w:val="69DC26B1"/>
    <w:rsid w:val="6A184540"/>
    <w:rsid w:val="6A2151A2"/>
    <w:rsid w:val="6A373075"/>
    <w:rsid w:val="6A5C61DA"/>
    <w:rsid w:val="6A665113"/>
    <w:rsid w:val="6AF74490"/>
    <w:rsid w:val="6B144E28"/>
    <w:rsid w:val="6BFF59B7"/>
    <w:rsid w:val="6C177B6C"/>
    <w:rsid w:val="6C403671"/>
    <w:rsid w:val="6C6B4DFB"/>
    <w:rsid w:val="6C6D4A58"/>
    <w:rsid w:val="6CB00AF9"/>
    <w:rsid w:val="6CCD33BF"/>
    <w:rsid w:val="6D154D66"/>
    <w:rsid w:val="6D1E49F0"/>
    <w:rsid w:val="6D905053"/>
    <w:rsid w:val="6DD469CF"/>
    <w:rsid w:val="6E542593"/>
    <w:rsid w:val="6E573888"/>
    <w:rsid w:val="6ECD3B4B"/>
    <w:rsid w:val="6ED8429D"/>
    <w:rsid w:val="6F556684"/>
    <w:rsid w:val="6F870EF5"/>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4E9556B"/>
    <w:rsid w:val="755C628B"/>
    <w:rsid w:val="755E58D5"/>
    <w:rsid w:val="755F74C6"/>
    <w:rsid w:val="75995B4F"/>
    <w:rsid w:val="76036494"/>
    <w:rsid w:val="761360D7"/>
    <w:rsid w:val="762439FD"/>
    <w:rsid w:val="76277FE4"/>
    <w:rsid w:val="76312C11"/>
    <w:rsid w:val="76375D4D"/>
    <w:rsid w:val="76992E80"/>
    <w:rsid w:val="769E7490"/>
    <w:rsid w:val="76C3048F"/>
    <w:rsid w:val="76DB4984"/>
    <w:rsid w:val="76DE455C"/>
    <w:rsid w:val="77D00208"/>
    <w:rsid w:val="77D5581E"/>
    <w:rsid w:val="77D9530E"/>
    <w:rsid w:val="77F03ED5"/>
    <w:rsid w:val="77FC0FFD"/>
    <w:rsid w:val="78630157"/>
    <w:rsid w:val="78A44248"/>
    <w:rsid w:val="78BF7473"/>
    <w:rsid w:val="78C935D5"/>
    <w:rsid w:val="78C95383"/>
    <w:rsid w:val="794E57F6"/>
    <w:rsid w:val="79972073"/>
    <w:rsid w:val="79BF70EF"/>
    <w:rsid w:val="7A195E96"/>
    <w:rsid w:val="7A3E58FC"/>
    <w:rsid w:val="7A434CC1"/>
    <w:rsid w:val="7A9A058E"/>
    <w:rsid w:val="7AB6266E"/>
    <w:rsid w:val="7ADB139D"/>
    <w:rsid w:val="7B68601A"/>
    <w:rsid w:val="7B713AB0"/>
    <w:rsid w:val="7BAB3527"/>
    <w:rsid w:val="7BC13CD3"/>
    <w:rsid w:val="7BE349AD"/>
    <w:rsid w:val="7C38637B"/>
    <w:rsid w:val="7C4C159F"/>
    <w:rsid w:val="7C857813"/>
    <w:rsid w:val="7CC935D6"/>
    <w:rsid w:val="7DE25B31"/>
    <w:rsid w:val="7E1F77F3"/>
    <w:rsid w:val="7E920A44"/>
    <w:rsid w:val="7E9D2BEE"/>
    <w:rsid w:val="7F344983"/>
    <w:rsid w:val="7F361298"/>
    <w:rsid w:val="7F4E65E2"/>
    <w:rsid w:val="7FA513FD"/>
    <w:rsid w:val="7FA77AA0"/>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2">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3"/>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 w:type="character" w:customStyle="1" w:styleId="31">
    <w:name w:val="font01"/>
    <w:basedOn w:val="2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4349</Words>
  <Characters>4600</Characters>
  <Lines>0</Lines>
  <Paragraphs>0</Paragraphs>
  <TotalTime>14</TotalTime>
  <ScaleCrop>false</ScaleCrop>
  <LinksUpToDate>false</LinksUpToDate>
  <CharactersWithSpaces>5372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2025-06-20T02:39:57Z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y fmtid="{D5CDD505-2E9C-101B-9397-08002B2CF9AE}" pid="5" name="KSOTemplateDocerSaveRecord">
    <vt:lpwstr>eyJoZGlkIjoiMjAwMDVkNzhlNDIyMmVjODMwMjZjZGRmZDM0MGJiMDMiLCJ1c2VySWQiOiI1Mjg1NzI4ODEifQ==</vt:lpwstr>
  </property>
</Properties>
</file>